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164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случаях, если законом предусмотрена государственная регистрация сделок, правовые последствия сделки наступают после ее регистрации.</w:t>
      </w:r>
    </w:p>
    <w:p>
      <w:pPr>
        <w:spacing w:after="120"/>
        <w:ind w:firstLine="709"/>
      </w:pPr>
      <w:r>
        <w:rPr>
          <w:sz w:val="24"/>
        </w:rPr>
        <w:t xml:space="preserve">2. Сделка, предусматривающая изменение условий зарегистрированной сделки, подлежит государственной регистрации.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164</dc:title>
  <dc:creator>АРБИТРАЖ! · arbi.ru</dc:creator>
  <cp:lastModifiedBy>АРБИТРАЖ!</cp:lastModifiedBy>
  <dcterms:created xsi:type="dcterms:W3CDTF">2026-10-23T00:44:18.400Z</dcterms:created>
</cp:coreProperties>
</file>