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167 ГК РФ &gt;&gt;&gt;</w:t>
      </w:r>
    </w:p>
    <w:p>
      <w:pPr>
        <w:spacing w:after="120"/>
        <w:ind w:firstLine="709"/>
      </w:pPr>
      <w:r>
        <w:rPr>
          <w:sz w:val="24"/>
        </w:rPr>
        <w:t xml:space="preserve">1. 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</w:t>
      </w:r>
    </w:p>
    <w:p>
      <w:pPr>
        <w:spacing w:after="120"/>
        <w:ind w:firstLine="709"/>
      </w:pPr>
      <w:r>
        <w:rPr>
          <w:sz w:val="24"/>
        </w:rPr>
        <w:t xml:space="preserve">Лицо, которое знало или должно было знать об основаниях недействительности оспоримой сделки, после признания этой сделки недействительной не считается действовавшим добросовестно.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07.05.2013 N 100-ФЗ)</w:t>
      </w:r>
    </w:p>
    <w:p>
      <w:pPr>
        <w:spacing w:after="120"/>
        <w:ind w:firstLine="709"/>
      </w:pPr>
      <w:r>
        <w:rPr>
          <w:sz w:val="24"/>
        </w:rPr>
        <w:t xml:space="preserve">2. 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из существа оспоримой сделки вытекает, что она может быть лишь прекращена на будущее время, суд, признавая сделку недействительной, прекращает ее действие на будущее время.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 вправе не применять последствия недействительности сделки ( пункт 2 настоящей статьи), если их применение будет противоречить основам правопорядка или нравственности.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07.05.2013 N 100-ФЗ)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167</dc:title>
  <dc:creator>АРБИТРАЖ! · arbi.ru</dc:creator>
  <cp:lastModifiedBy>АРБИТРАЖ!</cp:lastModifiedBy>
  <dcterms:created xsi:type="dcterms:W3CDTF">2026-10-22T22:03:37.157Z</dcterms:created>
</cp:coreProperties>
</file>