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172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Ничтожна сделка, совершенная несовершеннолетним, не достигшим четырнадцати лет (малолетним). К такой сделке применяются правила, предусмотренные абзацами вторым и третьим пункта 1 статьи 171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интересах малолетнего совершенная им сделка может быть по требованию его родителей, усыновителей или опекуна признана судом действительной, если она совершена к выгоде малолетнего.</w:t>
      </w:r>
    </w:p>
    <w:p>
      <w:pPr>
        <w:spacing w:after="120"/>
        <w:ind w:firstLine="709"/>
      </w:pPr>
      <w:r>
        <w:rPr>
          <w:sz w:val="24"/>
        </w:rPr>
        <w:t xml:space="preserve">3. Правила настоящей статьи не распространяются на мелкие бытовые и другие сделки малолетних, которые они вправе совершать самостоятельно в соответствии со статьей 28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172</dc:title>
  <dc:creator>АРБИТРАЖ! · arbi.ru</dc:creator>
  <cp:lastModifiedBy>АРБИТРАЖ!</cp:lastModifiedBy>
  <dcterms:created xsi:type="dcterms:W3CDTF">2026-10-22T23:29:16.336Z</dcterms:created>
</cp:coreProperties>
</file>