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Установленный законом, иными правовыми актами, сделкой или назначаемый судом срок определяется календарной датой или истечением периода времени, который исчисляется годами, месяцами, неделями, днями или часами.</w:t>
      </w:r>
    </w:p>
    <w:p>
      <w:pPr>
        <w:spacing w:after="120"/>
        <w:ind w:firstLine="709"/>
      </w:pPr>
      <w:r>
        <w:rPr>
          <w:sz w:val="24"/>
        </w:rPr>
        <w:t xml:space="preserve">Срок может определяться также указанием на событие, которое должно неизбежно наступить.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190</dc:title>
  <dc:creator>АРБИТРАЖ! · arbi.ru</dc:creator>
  <cp:lastModifiedBy>АРБИТРАЖ!</cp:lastModifiedBy>
  <dcterms:created xsi:type="dcterms:W3CDTF">2026-10-22T23:29:39.594Z</dcterms:created>
</cp:coreProperties>
</file>