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191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https://www.consultant.ru/document/cons_doc_LAW_5142/</w:t>
      </w:r>
    </w:p>
    <w:p>
      <w:pPr>
        <w:spacing w:after="120"/>
        <w:ind w:firstLine="709"/>
      </w:pPr>
      <w:r>
        <w:rPr>
          <w:sz w:val="24"/>
        </w:rPr>
        <w:t xml:space="preserve">Раздел: Глава 11. Исчисление сроков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Течение срока, определенного периодом времени, начинается на следующий день после календарной даты или наступления события, которыми определено его начало.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191</dc:title>
  <dc:creator>АРБИТРАЖ! · arbi.ru</dc:creator>
  <cp:lastModifiedBy>АРБИТРАЖ!</cp:lastModifiedBy>
  <dcterms:created xsi:type="dcterms:W3CDTF">2026-10-22T16:45:24.473Z</dcterms:created>
</cp:coreProperties>
</file>