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196 ГК РФ &gt;&gt;&gt;</w:t>
      </w:r>
    </w:p>
    <w:p>
      <w:pPr>
        <w:spacing w:after="120"/>
        <w:ind w:firstLine="709"/>
      </w:pPr>
      <w:r>
        <w:rPr>
          <w:sz w:val="24"/>
        </w:rPr>
        <w:t xml:space="preserve">1. Общий срок исковой давности составляет три года со дня, определяемого в соответствии со статьей 200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Срок исковой давности не может превышать десять лет со дня нарушения права, для защиты которого этот срок установлен, за исключением случаев, установленных Федеральным законом от 6 марта 2006 года N 35-ФЗ "О противодействии терроризму" и Федеральным законом от 30 ноября 2010 года N 327-ФЗ "О передаче религиозным организациям имущества религиозного назначения, находящегося в государственной или муниципальной собственности".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02.11.2013 N 302-ФЗ , от 10.06.2026 N 167-ФЗ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196</dc:title>
  <dc:creator>АРБИТРАЖ! · arbi.ru</dc:creator>
  <cp:lastModifiedBy>АРБИТРАЖ!</cp:lastModifiedBy>
  <dcterms:created xsi:type="dcterms:W3CDTF">2026-10-22T23:04:55.252Z</dcterms:created>
</cp:coreProperties>
</file>