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Исковая давность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1 ст. 197 во взаимосвязи с другими нормами признан не соответствующим Конституции РФ ( Постановление КС РФ от 31.10.2024 N 49-П). О применении указанных норм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1. Для отдельных видов требований законом могут устанавливаться специальные сроки исковой давности, сокращенные или более длительные по сравнению с общим сроком.</w:t>
      </w:r>
    </w:p>
    <w:p>
      <w:pPr>
        <w:spacing w:after="120"/>
        <w:ind w:firstLine="709"/>
      </w:pPr>
      <w:r>
        <w:rPr>
          <w:sz w:val="24"/>
        </w:rPr>
        <w:t xml:space="preserve">2. Правила статьи 195 , пункта 2 статьи 196 и статей 198 - 207 настоящего Кодекса распространяются также на специальные сроки давности, если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197</dc:title>
  <dc:creator>АРБИТРАЖ! · arbi.ru</dc:creator>
  <cp:lastModifiedBy>АРБИТРАЖ!</cp:lastModifiedBy>
  <dcterms:created xsi:type="dcterms:W3CDTF">2026-10-22T20:09:33.494Z</dcterms:created>
</cp:coreProperties>
</file>