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203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203 ГК РФ &gt;&gt;&gt;</w:t>
      </w:r>
    </w:p>
    <w:p>
      <w:pPr>
        <w:spacing w:after="120"/>
        <w:ind w:firstLine="709"/>
      </w:pPr>
      <w:r>
        <w:rPr>
          <w:sz w:val="24"/>
        </w:rPr>
        <w:t xml:space="preserve">Течение срока исковой давности прерывается совершением обязанным лицом действий , свидетельствующих о признании долга.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После перерыва течение срока исковой давности начинается заново; время, истекшее до перерыва, не засчитывается в новый срок.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203</dc:title>
  <dc:creator>АРБИТРАЖ! · arbi.ru</dc:creator>
  <cp:lastModifiedBy>АРБИТРАЖ!</cp:lastModifiedBy>
  <dcterms:created xsi:type="dcterms:W3CDTF">2026-10-22T22:34:18.612Z</dcterms:created>
</cp:coreProperties>
</file>