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207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Исковая давность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 истечением срока исковой давности по главному требованию считается истекшим срок исковой давности и по дополнительным требованиям (проценты, неустойка, залог, поручительство и т.п.), в том числе возникшим после истечения срока исковой давности по главному требованию.</w:t>
      </w:r>
    </w:p>
    <w:p>
      <w:pPr>
        <w:spacing w:after="120"/>
        <w:ind w:firstLine="709"/>
      </w:pPr>
      <w:r>
        <w:rPr>
          <w:sz w:val="24"/>
        </w:rPr>
        <w:t xml:space="preserve">2. В случае пропуска срока предъявления к исполнению исполнительного документа по главному требованию срок исковой давности по дополнительным требованиям считается истекшим.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207</dc:title>
  <dc:creator>АРБИТРАЖ! · arbi.ru</dc:creator>
  <cp:lastModifiedBy>АРБИТРАЖ!</cp:lastModifiedBy>
  <dcterms:created xsi:type="dcterms:W3CDTF">2026-10-22T20:21:58.799Z</dcterms:created>
</cp:coreProperties>
</file>