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Исковая давность не распространяется на: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ст. 208 во взаимосвязи с другими нормами признан не соответствующим Конституции РФ ( Постановление КС РФ от 31.10.2024 N 49-П). О применении указанных норм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требования о защите личных неимущественных прав и других нематериальных благ, кроме случаев, предусмотренных законом ;</w:t>
      </w:r>
    </w:p>
    <w:p>
      <w:pPr>
        <w:spacing w:after="120"/>
        <w:ind w:firstLine="709"/>
      </w:pPr>
      <w:r>
        <w:rPr>
          <w:sz w:val="24"/>
        </w:rPr>
        <w:t xml:space="preserve">требования вкладчиков к банку о выдаче вкладов;</w:t>
      </w:r>
    </w:p>
    <w:p>
      <w:pPr>
        <w:spacing w:after="120"/>
        <w:ind w:firstLine="709"/>
      </w:pPr>
      <w:r>
        <w:rPr>
          <w:sz w:val="24"/>
        </w:rPr>
        <w:t xml:space="preserve">требования о возмещении вреда, причиненного жизни или здоровью гражданина. Однако требования, предъявленные по истечении трех лет с момента возникновения права на возмещение такого вреда, удовлетворяются за прошлое время не более чем за три года, предшествовавшие предъявлению иска, за исключением случаев, предусмотренных Федеральным законом от 6 марта 2006 года N 35-ФЗ "О противодействии терроризму";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собственника или иного владельца об устранении всяких нарушений его права, хотя бы эти нарушения не были соединены с лишением владения (статья 304) ;</w:t>
      </w:r>
    </w:p>
    <w:p>
      <w:pPr>
        <w:spacing w:after="120"/>
        <w:ind w:firstLine="709"/>
      </w:pPr>
      <w:r>
        <w:rPr>
          <w:sz w:val="24"/>
        </w:rPr>
        <w:t xml:space="preserve">другие требования в случаях, установленных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208</dc:title>
  <dc:creator>АРБИТРАЖ! · arbi.ru</dc:creator>
  <cp:lastModifiedBy>АРБИТРАЖ!</cp:lastModifiedBy>
  <dcterms:created xsi:type="dcterms:W3CDTF">2026-10-22T22:03:25.083Z</dcterms:created>
</cp:coreProperties>
</file>