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Российской Федерации признаются частная, государственная, муниципальная и иные формы собственности.</w:t>
      </w:r>
    </w:p>
    <w:p>
      <w:pPr>
        <w:spacing w:after="120"/>
        <w:ind w:firstLine="709"/>
      </w:pPr>
      <w:r>
        <w:rPr>
          <w:sz w:val="24"/>
        </w:rPr>
        <w:t xml:space="preserve">2. Имущество может находиться в собственности граждан и юридических лиц, а также Российской Федерации, субъектов Российской Федерации,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3. Особенности приобретения и прекращения права собственности на имущество, владения, пользования и распоряжения им в зависимости от того, находится имущество в собственности гражданина или юридического лица, в собственности Российской Федерации, субъекта Российской Федерации или муниципального образования, могут устанавливаться лишь законом.</w:t>
      </w:r>
    </w:p>
    <w:p>
      <w:pPr>
        <w:spacing w:after="120"/>
        <w:ind w:firstLine="709"/>
      </w:pPr>
      <w:r>
        <w:rPr>
          <w:sz w:val="24"/>
        </w:rPr>
        <w:t xml:space="preserve">Законом определяются виды имущества, которые могут находиться только в государственной или муниципальной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4. Права всех собственников защищаются равным образом.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212</dc:title>
  <dc:creator>АРБИТРАЖ! · arbi.ru</dc:creator>
  <cp:lastModifiedBy>АРБИТРАЖ!</cp:lastModifiedBy>
  <dcterms:created xsi:type="dcterms:W3CDTF">2026-10-22T20:20:14.054Z</dcterms:created>
</cp:coreProperties>
</file>