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собственности граждан и юридических лиц может находиться любое имущество, за исключением отдельных видов имущества, которое в соответствии с законом не может принадлежать гражданам или юридическим лицам.</w:t>
      </w:r>
    </w:p>
    <w:p>
      <w:pPr>
        <w:spacing w:after="120"/>
        <w:ind w:firstLine="709"/>
      </w:pPr>
      <w:r>
        <w:rPr>
          <w:sz w:val="24"/>
        </w:rPr>
        <w:t xml:space="preserve">2. Количество и стоимость имущества, находящегося в собственности граждан и юридических лиц, не ограничиваются, за исключением случаев, когда такие ограничения установлены законом в целях, предусмотренных пунктом 2 статьи 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Коммерческие и некоммерческие организации, кроме государственных и муниципальных предприятий, а также учреждений, являются собственниками имущества, переданного им в качестве вкладов (взносов) их учредителями (участниками, членами), а также имущества, приобретенного этими юридическими лицами по иным основаниям.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03.11.2006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Общественные и религиозные организации (объединения), общественно полезные фонды являются собственниками приобретенного ими имущества и могут использовать его лишь для достижения целей, предусмотренных их учредительными документами. Учредители (участники, члены) этих организаций утрачивают право на имущество, переданное ими в собственность соответствующей организации. В случае ликвидации такой организации ее имущество, оставшееся после удовлетворения требований кредиторов, используется в целях, указанных в ее учредительных документах.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213</dc:title>
  <dc:creator>АРБИТРАЖ! · arbi.ru</dc:creator>
  <cp:lastModifiedBy>АРБИТРАЖ!</cp:lastModifiedBy>
  <dcterms:created xsi:type="dcterms:W3CDTF">2026-10-22T23:46:05.141Z</dcterms:created>
</cp:coreProperties>
</file>