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Имущество, принадлежащее на праве собственности городским и сельским поселениям, а также другим муниципальным образованиям, является муниципальной собственностью .</w:t>
      </w:r>
    </w:p>
    <w:p>
      <w:pPr>
        <w:spacing w:after="120"/>
        <w:ind w:firstLine="709"/>
      </w:pPr>
      <w:r>
        <w:rPr>
          <w:sz w:val="24"/>
        </w:rPr>
        <w:t xml:space="preserve">2. От имени муниципального образования права собственника осуществляют органы местного самоуправления и лица, указанные в статье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Имущество, находящееся в муниципальной собственности, закрепляется за муниципальными предприятиями и учреждениями во владение, пользование и распоряжение в соответствии с настоящим Кодексом ( статьи 294 , 296 ).</w:t>
      </w:r>
    </w:p>
    <w:p>
      <w:pPr>
        <w:spacing w:after="120"/>
        <w:ind w:firstLine="709"/>
      </w:pPr>
      <w:r>
        <w:rPr>
          <w:sz w:val="24"/>
        </w:rPr>
        <w:t xml:space="preserve">Средства местного бюджета и иное муниципальное имущество, не закрепленное за муниципальными предприятиями и учреждениями, составляют муниципальную казну соответствующего городского, сельского поселения или другого муниципального образования.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215</dc:title>
  <dc:creator>АРБИТРАЖ! · arbi.ru</dc:creator>
  <cp:lastModifiedBy>АРБИТРАЖ!</cp:lastModifiedBy>
  <dcterms:created xsi:type="dcterms:W3CDTF">2026-10-22T16:46:46.594Z</dcterms:created>
</cp:coreProperties>
</file>