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232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14. Приобретение права собственности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В случае возврата безнадзорных домашних животных собственнику лицо, задержавшее животных, и лицо, у которого они находились на содержании и в пользовании, имеют право на возмещение их собственником необходимых расходов, связанных с содержанием животных, с зачетом выгод, извлеченных от пользования ими.</w:t>
      </w:r>
    </w:p>
    <w:p>
      <w:pPr>
        <w:spacing w:after="120"/>
        <w:ind w:firstLine="709"/>
      </w:pPr>
      <w:r>
        <w:rPr>
          <w:sz w:val="24"/>
        </w:rPr>
        <w:t xml:space="preserve">Лицо, задержавшее безнадзорных домашних животных, имеет право на вознаграждение в соответствии с пунктом 2 статьи 229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232</dc:title>
  <dc:creator>АРБИТРАЖ! · arbi.ru</dc:creator>
  <cp:lastModifiedBy>АРБИТРАЖ!</cp:lastModifiedBy>
  <dcterms:created xsi:type="dcterms:W3CDTF">2026-10-22T14:57:34.726Z</dcterms:created>
</cp:coreProperties>
</file>