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234 ГК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234 см. Постановления КС РФ от 26.11.2020 N 48-П и от 28.05.2026 N 35-П .</w:t>
      </w:r>
    </w:p>
    <w:p>
      <w:pPr>
        <w:spacing w:after="120"/>
        <w:ind w:firstLine="709"/>
      </w:pPr>
      <w:r>
        <w:rPr>
          <w:sz w:val="24"/>
        </w:rPr>
        <w:t xml:space="preserve">1. 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</w:t>
      </w:r>
    </w:p>
    <w:p>
      <w:pPr>
        <w:spacing w:after="120"/>
        <w:ind w:firstLine="709"/>
      </w:pPr>
      <w:r>
        <w:rPr>
          <w:sz w:val="24"/>
        </w:rPr>
        <w:t xml:space="preserve">2. До приобретения на имущество права собственности в силу приобретательной давности лицо, владеющее имуществом как своим собственным, имеет право на защиту своего владения против третьих лиц, не являющихся собственниками имущества, а также не имеющих прав на владение им в силу иного предусмотренного законом или договором основания.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234 признан частично не соответствующим Конституции РФ ( Постановление КС РФ от 25.03.2026 N 18-П). О правовом регулировании до внесения соответствующих изменений см. указанное Постановление .</w:t>
      </w:r>
    </w:p>
    <w:p>
      <w:pPr>
        <w:spacing w:after="120"/>
        <w:ind w:firstLine="709"/>
      </w:pPr>
      <w:r>
        <w:rPr>
          <w:sz w:val="24"/>
        </w:rPr>
        <w:t xml:space="preserve">3. 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</w:t>
      </w:r>
    </w:p>
    <w:p>
      <w:pPr>
        <w:spacing w:after="120"/>
        <w:ind w:firstLine="709"/>
      </w:pPr>
      <w:r>
        <w:rPr>
          <w:sz w:val="24"/>
        </w:rPr>
        <w:t xml:space="preserve">4. Течение срока приобретательной давности в отношении вещей, находящихся у лица, из владения которого они могли быть истребованы в соответствии со статьями 301 и 305 настоящего Кодекса, начинается со дня поступления вещи в открытое владение добросовестного приобретателя, а в случае, если было зарегистрировано право собственности добросовестного приобретателя недвижимой вещи, которой он владеет открыто, - не позднее момента государственной регистрации права собственности такого приобретателя.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16.12.2019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234</dc:title>
  <dc:creator>АРБИТРАЖ! · arbi.ru</dc:creator>
  <cp:lastModifiedBy>АРБИТРАЖ!</cp:lastModifiedBy>
  <dcterms:created xsi:type="dcterms:W3CDTF">2026-10-22T22:01:57.874Z</dcterms:created>
</cp:coreProperties>
</file>