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243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15. Прекращение права собственности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случаях, предусмотренных законом , имущество может быть безвозмездно изъято у собственника по решению суда в виде санкции за совершение преступления или иного правонарушения ( конфискация ).</w:t>
      </w:r>
    </w:p>
    <w:p>
      <w:pPr>
        <w:spacing w:after="120"/>
        <w:ind w:firstLine="709"/>
      </w:pPr>
      <w:r>
        <w:rPr>
          <w:sz w:val="24"/>
        </w:rPr>
        <w:t xml:space="preserve">2. В случаях, предусмотренных законом , конфискация может быть произведена в административном порядке. Решение о конфискации, принятое в административном порядке, может быть оспорено в суде.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18.12.2006 N 231-ФЗ)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/>
    <w:p>
      <w:pPr>
        <w:spacing w:after="120"/>
        <w:ind w:firstLine="709"/>
      </w:pPr>
      <w:r>
        <w:rPr>
          <w:sz w:val="24"/>
        </w:rPr>
        <w:t xml:space="preserve">§ 1. Общие положения об общей собственности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243</dc:title>
  <dc:creator>АРБИТРАЖ! · arbi.ru</dc:creator>
  <cp:lastModifiedBy>АРБИТРАЖ!</cp:lastModifiedBy>
  <dcterms:created xsi:type="dcterms:W3CDTF">2026-10-22T22:00:25.063Z</dcterms:created>
</cp:coreProperties>
</file>