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доли участников долевой собственности не могут быть определены на основании закона и не установлены соглашением всех ее участников, доли считаются равными.</w:t>
      </w:r>
    </w:p>
    <w:p>
      <w:pPr>
        <w:spacing w:after="120"/>
        <w:ind w:firstLine="709"/>
      </w:pPr>
      <w:r>
        <w:rPr>
          <w:sz w:val="24"/>
        </w:rPr>
        <w:t xml:space="preserve">2.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имущества.</w:t>
      </w:r>
    </w:p>
    <w:p>
      <w:pPr>
        <w:spacing w:after="120"/>
        <w:ind w:firstLine="709"/>
      </w:pPr>
      <w:r>
        <w:rPr>
          <w:sz w:val="24"/>
        </w:rPr>
        <w:t xml:space="preserve">3. Участник долевой собственности, осуществивший за свой счет с соблюдением установленного порядка использования общего имущества неотделимые улучшения этого имущества, имеет право на соответствующее увеличение своей доли в праве на общее имущество.</w:t>
      </w:r>
    </w:p>
    <w:p>
      <w:pPr>
        <w:spacing w:after="120"/>
        <w:ind w:firstLine="709"/>
      </w:pPr>
      <w:r>
        <w:rPr>
          <w:sz w:val="24"/>
        </w:rPr>
        <w:t xml:space="preserve">Отделимые улучшения общего имущества, если иное не предусмотрено соглашением участников долевой собственности, поступают в собственность того из участников, который их произвел.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245</dc:title>
  <dc:creator>АРБИТРАЖ! · arbi.ru</dc:creator>
  <cp:lastModifiedBy>АРБИТРАЖ!</cp:lastModifiedBy>
  <dcterms:created xsi:type="dcterms:W3CDTF">2026-10-22T22:33:29.899Z</dcterms:created>
</cp:coreProperties>
</file>