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246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Прекращение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Распоряжение имуществом, находящимся в долевой собственности, осуществляется по соглашению всех ее участников.</w:t>
      </w:r>
    </w:p>
    <w:p>
      <w:pPr>
        <w:spacing w:after="120"/>
        <w:ind w:firstLine="709"/>
      </w:pPr>
      <w:r>
        <w:rPr>
          <w:sz w:val="24"/>
        </w:rPr>
        <w:t xml:space="preserve">2. Участник долевой собственности вправе по своему усмотрению продать, подарить, завещать, отдать в залог свою долю либо распорядиться ею иным образом с соблюдением при ее возмездном отчуждении правил, предусмотренных статьей 250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246</dc:title>
  <dc:creator>АРБИТРАЖ! · arbi.ru</dc:creator>
  <cp:lastModifiedBy>АРБИТРАЖ!</cp:lastModifiedBy>
  <dcterms:created xsi:type="dcterms:W3CDTF">2026-10-22T23:38:53.091Z</dcterms:created>
</cp:coreProperties>
</file>