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253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Участники совместной собственности, если иное не предусмотрено соглашением между ними, сообща владеют и пользуются общим имуществом.</w:t>
      </w:r>
    </w:p>
    <w:p>
      <w:pPr>
        <w:spacing w:after="120"/>
        <w:ind w:firstLine="709"/>
      </w:pPr>
      <w:r>
        <w:rPr>
          <w:sz w:val="24"/>
        </w:rPr>
        <w:t xml:space="preserve">2. Распоряжение имуществом, находящимся в совместной собственности, осуществляется по согласию всех участников, которое предполагается независимо от того, кем из участников совершается сделка по распоряжению имуществом.</w:t>
      </w:r>
    </w:p>
    <w:p>
      <w:pPr>
        <w:spacing w:after="120"/>
        <w:ind w:firstLine="709"/>
      </w:pPr>
      <w:r>
        <w:rPr>
          <w:sz w:val="24"/>
        </w:rPr>
        <w:t xml:space="preserve">3. Каждый из участников совместной собственности вправе совершать сделки по распоряжению общим имуществом, если иное не вытекает из соглашения всех участников. Совершенная одним из участников совместной собственности сделка, связанная с распоряжением общим имуществом, может быть признана недействительной по требованию остальных участников по мотивам отсутствия у участника, совершившего сделку, необходимых полномочий только в случае, если доказано, что другая сторона в сделке знала или заведомо должна была знать об этом.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настоящей статьи применяются постольку, поскольку для отдельных видов совместной собственности настоящим Кодексом или другими законами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253</dc:title>
  <dc:creator>АРБИТРАЖ! · arbi.ru</dc:creator>
  <cp:lastModifiedBy>АРБИТРАЖ!</cp:lastModifiedBy>
  <dcterms:created xsi:type="dcterms:W3CDTF">2026-10-23T00:21:07.066Z</dcterms:created>
</cp:coreProperties>
</file>