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взыскания.</w:t>
      </w:r>
    </w:p>
    <w:p>
      <w:pPr>
        <w:spacing w:after="120"/>
        <w:ind w:firstLine="709"/>
      </w:pPr>
      <w:r>
        <w:rPr>
          <w:sz w:val="24"/>
        </w:rPr>
        <w:t xml:space="preserve">Если в таких случаях выделение доли в натуре невозможно либо против этого возражают остальные участники долевой или совместной собственности, кредитор вправе требовать продажи должником своей доли остальным участникам общей собственности по цене, соразмерной рыночной стоимости этой доли, с обращением вырученных от продажи средств в погашение долга.</w:t>
      </w:r>
    </w:p>
    <w:p>
      <w:pPr>
        <w:spacing w:after="120"/>
        <w:ind w:firstLine="709"/>
      </w:pPr>
      <w:r>
        <w:rPr>
          <w:sz w:val="24"/>
        </w:rPr>
        <w:t xml:space="preserve">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255</dc:title>
  <dc:creator>АРБИТРАЖ! · arbi.ru</dc:creator>
  <cp:lastModifiedBy>АРБИТРАЖ!</cp:lastModifiedBy>
  <dcterms:created xsi:type="dcterms:W3CDTF">2026-10-22T20:20:20.078Z</dcterms:created>
</cp:coreProperties>
</file>