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259</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15. Прекращение права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pPr>
        <w:spacing w:after="120"/>
        <w:ind w:firstLine="709"/>
      </w:pPr>
      <w:r>
        <w:rPr>
          <w:sz w:val="24"/>
        </w:rP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пунктом 3 статьи 258 настоящего Кодекса.</w:t>
      </w:r>
    </w:p>
    <w:p/>
    <w:p>
      <w:pPr>
        <w:spacing w:after="120"/>
        <w:ind w:firstLine="709"/>
      </w:pPr>
      <w:r>
        <w:rPr>
          <w:sz w:val="24"/>
        </w:rPr>
        <w:t xml:space="preserve">§ 2. Общее имущество собственников недвижимых вещей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259</dc:title>
  <dc:creator>АРБИТРАЖ! · arbi.ru</dc:creator>
  <cp:lastModifiedBy>АРБИТРАЖ!</cp:lastModifiedBy>
  <dcterms:created xsi:type="dcterms:W3CDTF">2026-10-22T16:46:41.071Z</dcterms:created>
</cp:coreProperties>
</file>