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259.4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24.07.2023 N 351-ФЗ)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единогласным решением собственников недвижимых вещей, каждый собственник недвижимой вещи обязан участвовать в расходах и издержках по содержанию и сохранению общего имущества соразмерно со своей долей в праве на общее имущество (пункт 1 статьи 259.2) . Собственник недвижимой вещи, в результате действий или бездействия которого возникают дополнительные расходы и издержки по содержанию и сохранению общего имущества, обязан их покрывать.</w:t>
      </w:r>
    </w:p>
    <w:p>
      <w:pPr>
        <w:spacing w:after="120"/>
        <w:ind w:firstLine="709"/>
      </w:pPr>
      <w:r>
        <w:rPr>
          <w:sz w:val="24"/>
        </w:rPr>
        <w:t xml:space="preserve">2. Каждый собственник недвижимой вещи обязан соразмерно со своей долей в праве общей собственности на общее имущество (пункт 1 статьи 259.2) участвовать в уплате налогов, сборов и иных обязательных платежей, связанных с общим имуществом.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259.4</dc:title>
  <dc:creator>АРБИТРАЖ! · arbi.ru</dc:creator>
  <cp:lastModifiedBy>АРБИТРАЖ!</cp:lastModifiedBy>
  <dcterms:created xsi:type="dcterms:W3CDTF">2026-10-23T01:34:58.974Z</dcterms:created>
</cp:coreProperties>
</file>