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263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Право собственности и другие вещные права на землю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Собственник земельного участка может возводить на нем здания и сооружения, осуществлять их перестройку или снос, разрешать строительство на своем участке другим лицам. Эти права осуществляются при условии соблюдения градостроительных и строительных норм и правил, а также требований о целевом назначении земельного участка ( пункт 2 статьи 260 ).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26.06.2007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законом или договором, собственник земельного участка приобретает право собственности на здание, сооружение и иное недвижимое имущество, возведенное или созданное им для себя на принадлежащем ему участке.</w:t>
      </w:r>
    </w:p>
    <w:p>
      <w:pPr>
        <w:spacing w:after="120"/>
        <w:ind w:firstLine="709"/>
      </w:pPr>
      <w:r>
        <w:rPr>
          <w:sz w:val="24"/>
        </w:rPr>
        <w:t xml:space="preserve">Последствия самовольной постройки, возведенной или созданной на земельном участке его собственником или другими лицами, определяются статьей 222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263</dc:title>
  <dc:creator>АРБИТРАЖ! · arbi.ru</dc:creator>
  <cp:lastModifiedBy>АРБИТРАЖ!</cp:lastModifiedBy>
  <dcterms:created xsi:type="dcterms:W3CDTF">2026-10-22T22:32:17.383Z</dcterms:created>
</cp:coreProperties>
</file>