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Гражданин, обладающий правом пожизненного наследуемого владения (владелец земельного участка), имеет права владения и пользования земельным участком, передаваемые по наследству .</w:t>
      </w:r>
    </w:p>
    <w:p>
      <w:pPr>
        <w:spacing w:after="120"/>
        <w:ind w:firstLine="709"/>
      </w:pPr>
      <w:r>
        <w:rPr>
          <w:sz w:val="24"/>
        </w:rPr>
        <w:t xml:space="preserve">2. Если из условий пользования земельным участком, установленных законом, не вытекает иное, владелец земельного участка вправе возводить на нем здания, сооружения и создавать другое недвижимое имущество, приобретая на него право собственности.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266</dc:title>
  <dc:creator>АРБИТРАЖ! · arbi.ru</dc:creator>
  <cp:lastModifiedBy>АРБИТРАЖ!</cp:lastModifiedBy>
  <dcterms:created xsi:type="dcterms:W3CDTF">2026-10-22T12:11:25.636Z</dcterms:created>
</cp:coreProperties>
</file>