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287.1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17.1. Право собственности и другие вещные права на здания, сооружения, объекты незавершенного строительства, помещения и машино-места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21.12.2021 N 430-ФЗ)</w:t>
      </w:r>
    </w:p>
    <w:p>
      <w:pPr>
        <w:spacing w:after="120"/>
        <w:ind w:firstLine="709"/>
      </w:pPr>
      <w:r>
        <w:rPr>
          <w:sz w:val="24"/>
        </w:rPr>
        <w:t xml:space="preserve">Право собственности на созданные здание, сооружение, объект незавершенного строительства, помещение, машино-место возникает у собственника земельного участка, на котором расположены указанные объекты, если настоящим Кодексом, другим законом или договором не предусмотрено иное. Право собственности на созданные здание, сооружение, объект незавершенного строительства, помещение, машино-место возникает у лица, которому находящийся в государственной или муниципальной собственности земельный участок предоставлен для создания соответствующей недвижимой вещи, если настоящим Кодексом, другим законом или договором не предусмотрено иное.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287.1</dc:title>
  <dc:creator>АРБИТРАЖ! · arbi.ru</dc:creator>
  <cp:lastModifiedBy>АРБИТРАЖ!</cp:lastModifiedBy>
  <dcterms:created xsi:type="dcterms:W3CDTF">2026-10-22T22:02:40.060Z</dcterms:created>
</cp:coreProperties>
</file>