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17.1. Право собственности и другие вещные права на здания, сооружения, объекты незавершенного строительства, помещения и машино-места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При государственной регистрации прав на образованные в здании или сооружении помещения и (или) машино-места право собственности на здание, сооружение в целом прекращается.</w:t>
      </w:r>
    </w:p>
    <w:p>
      <w:pPr>
        <w:spacing w:after="120"/>
        <w:ind w:firstLine="709"/>
      </w:pPr>
      <w:r>
        <w:rPr>
          <w:sz w:val="24"/>
        </w:rPr>
        <w:t xml:space="preserve">2. Собственник здания или сооружения вправе передать другому лицу во временное владение и пользование или во временное пользование помещение (часть помещения) либо иные части здания или сооружения. В этом случае договором между собственником и другим лицом определяется часть здания или сооружения, подлежащая передаче во временное владение и пользование или во временное пользование.</w:t>
      </w:r>
    </w:p>
    <w:p>
      <w:pPr>
        <w:spacing w:after="120"/>
        <w:ind w:firstLine="709"/>
      </w:pPr>
      <w:r>
        <w:rPr>
          <w:sz w:val="24"/>
        </w:rPr>
        <w:t xml:space="preserve">3. Помещения, машино-места могут быть образованы при разделе здания, сооружения, принадлежащих нескольким лицам на праве общей долевой собственности (статья 252) , в счет долей всех сособственников таких здания, сооружения в праве собственности на такие здание, сооружение.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287.2</dc:title>
  <dc:creator>АРБИТРАЖ! · arbi.ru</dc:creator>
  <cp:lastModifiedBy>АРБИТРАЖ!</cp:lastModifiedBy>
  <dcterms:created xsi:type="dcterms:W3CDTF">2026-10-22T20:23:56.730Z</dcterms:created>
</cp:coreProperties>
</file>