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287.7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17.1. Право собственности и другие вещные права на здания, сооружения, объекты незавершенного строительства, помещения и машино-места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21.12.2021 N 430-ФЗ)</w:t>
      </w:r>
    </w:p>
    <w:p>
      <w:pPr>
        <w:spacing w:after="120"/>
        <w:ind w:firstLine="709"/>
      </w:pPr>
      <w:r>
        <w:rPr>
          <w:sz w:val="24"/>
        </w:rPr>
        <w:t xml:space="preserve">1. Если собственник помещения использует его не по назначению, систематически нарушает права и интересы соседей либо бесхозяйственно содержит помещение, допуская его разрушение, уполномоченный государственный орган или орган местного самоуправления может предупредить собственника о необходимости устранить нарушения, а если они влекут разрушение помещения, также назначить собственнику соразмерный срок для ремонта помещения.</w:t>
      </w:r>
    </w:p>
    <w:p>
      <w:pPr>
        <w:spacing w:after="120"/>
        <w:ind w:firstLine="709"/>
      </w:pPr>
      <w:r>
        <w:rPr>
          <w:sz w:val="24"/>
        </w:rPr>
        <w:t xml:space="preserve">Если собственник помещения после предупреждения продолжит нарушать права и интересы соседей или использовать помещение не по назначению либо без уважительных причин не произведет необходимый ремонт, суд по иску уполномоченного государственного органа или органа местного самоуправления может принять решение о продаже с публичных торгов такого помещения с выплатой собственнику вырученных от продажи средств за вычетом расходов на исполнение судебного решения.</w:t>
      </w:r>
    </w:p>
    <w:p>
      <w:pPr>
        <w:spacing w:after="120"/>
        <w:ind w:firstLine="709"/>
      </w:pPr>
      <w:r>
        <w:rPr>
          <w:sz w:val="24"/>
        </w:rPr>
        <w:t xml:space="preserve">2. Правила, предусмотренные настоящей статьей, применяются к отношениям, связанным с прекращением права собственности на бесхозяйственно содержимые жилые помещения, с особенностями, предусмотренными Жилищным кодексом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3. Правила, предусмотренные настоящей статьей, применяются к машино-местам, если иное не предусмотрено законом и не вытекает из существа правоотношений.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287.7</dc:title>
  <dc:creator>АРБИТРАЖ! · arbi.ru</dc:creator>
  <cp:lastModifiedBy>АРБИТРАЖ!</cp:lastModifiedBy>
  <dcterms:created xsi:type="dcterms:W3CDTF">2026-10-22T20:21:48.759Z</dcterms:created>
</cp:coreProperties>
</file>