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296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19. Право хозяйственного ведения, право оперативного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03.11.2006 N 175-ФЗ)</w:t>
      </w:r>
    </w:p>
    <w:p>
      <w:pPr>
        <w:spacing w:after="120"/>
        <w:ind w:firstLine="709"/>
      </w:pPr>
      <w:r>
        <w:rPr>
          <w:sz w:val="24"/>
        </w:rPr>
        <w:t xml:space="preserve">(см. текст в предыдущей редакции )</w:t>
      </w:r>
    </w:p>
    <w:p>
      <w:pPr>
        <w:spacing w:after="120"/>
        <w:ind w:firstLine="709"/>
      </w:pPr>
      <w:r>
        <w:rPr>
          <w:sz w:val="24"/>
        </w:rPr>
        <w:t xml:space="preserve">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pPr>
        <w:spacing w:after="120"/>
        <w:ind w:firstLine="709"/>
      </w:pPr>
      <w:r>
        <w:rPr>
          <w:sz w:val="24"/>
        </w:rPr>
        <w:t xml:space="preserve">(п. 1 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296</dc:title>
  <dc:creator>АРБИТРАЖ! · arbi.ru</dc:creator>
  <cp:lastModifiedBy>АРБИТРАЖ!</cp:lastModifiedBy>
  <dcterms:created xsi:type="dcterms:W3CDTF">2026-10-22T22:31:05.182Z</dcterms:created>
</cp:coreProperties>
</file>