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297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19. Право хозяйственного ведения, право оперативного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Казенное предприятие вправе отчуждать или иным способом распоряжаться закрепленным за ним имуществом лишь с согласия собственника этого имущества.</w:t>
      </w:r>
    </w:p>
    <w:p>
      <w:pPr>
        <w:spacing w:after="120"/>
        <w:ind w:firstLine="709"/>
      </w:pPr>
      <w:r>
        <w:rPr>
          <w:sz w:val="24"/>
        </w:rPr>
        <w:t xml:space="preserve">Казенное предприятие самостоятельно реализует производимую им продукцию, если иное не установлено законом или иными правовыми актами.</w:t>
      </w:r>
    </w:p>
    <w:p>
      <w:pPr>
        <w:spacing w:after="120"/>
        <w:ind w:firstLine="709"/>
      </w:pPr>
      <w:r>
        <w:rPr>
          <w:sz w:val="24"/>
        </w:rPr>
        <w:t xml:space="preserve">2. Порядок распределения доходов казенного предприятия определяется собственником его имущества.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297</dc:title>
  <dc:creator>АРБИТРАЖ! · arbi.ru</dc:creator>
  <cp:lastModifiedBy>АРБИТРАЖ!</cp:lastModifiedBy>
  <dcterms:created xsi:type="dcterms:W3CDTF">2026-10-22T22:03:20.572Z</dcterms:created>
</cp:coreProperties>
</file>