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20. Защита права собственности и других вещных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301 ГК РФ &gt;&gt;&gt;</w:t>
      </w:r>
    </w:p>
    <w:p>
      <w:pPr>
        <w:spacing w:after="120"/>
        <w:ind w:firstLine="709"/>
      </w:pPr>
      <w:r>
        <w:rPr>
          <w:sz w:val="24"/>
        </w:rPr>
        <w:t xml:space="preserve">Собственник вправе истребовать свое имущество из чужого незаконного владения.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301</dc:title>
  <dc:creator>АРБИТРАЖ! · arbi.ru</dc:creator>
  <cp:lastModifiedBy>АРБИТРАЖ!</cp:lastModifiedBy>
  <dcterms:created xsi:type="dcterms:W3CDTF">2026-10-22T16:46:42.079Z</dcterms:created>
</cp:coreProperties>
</file>