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Защита права собственности и других вещных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304 ГК РФ &gt;&gt;&gt;</w:t>
      </w:r>
    </w:p>
    <w:p>
      <w:pPr>
        <w:spacing w:after="120"/>
        <w:ind w:firstLine="709"/>
      </w:pPr>
      <w:r>
        <w:rPr>
          <w:sz w:val="24"/>
        </w:rPr>
        <w:t xml:space="preserve">Собственник может требовать устранения всяких нарушений его права, хотя бы эти нарушения и не были соединены с лишением владения.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304</dc:title>
  <dc:creator>АРБИТРАЖ! · arbi.ru</dc:creator>
  <cp:lastModifiedBy>АРБИТРАЖ!</cp:lastModifiedBy>
  <dcterms:created xsi:type="dcterms:W3CDTF">2026-10-22T22:03:32.642Z</dcterms:created>
</cp:coreProperties>
</file>