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317 ГК РФ &gt;&gt;&gt;</w:t>
      </w:r>
    </w:p>
    <w:p>
      <w:pPr>
        <w:spacing w:after="120"/>
        <w:ind w:firstLine="709"/>
      </w:pPr>
      <w:r>
        <w:rPr>
          <w:sz w:val="24"/>
        </w:rPr>
        <w:t xml:space="preserve">1. Денежные обязательства должны быть выражены в рублях (статья 140) .</w:t>
      </w:r>
    </w:p>
    <w:p>
      <w:pPr>
        <w:spacing w:after="120"/>
        <w:ind w:firstLine="709"/>
      </w:pPr>
      <w:r>
        <w:rPr>
          <w:sz w:val="24"/>
        </w:rPr>
        <w:t xml:space="preserve">2. В денежном обязательстве может быть предусмотрено, что оно подлежит оплате в рублях в сумме, эквивалентной определенной сумме в иностранной валюте или в условных денежных единицах (экю, "специальных правах заимствования" и др.). В этом случае подлежащая уплате в рублях сумма определяется по официальному курсу соответствующей валюты или условных денежных единиц на день платежа, если иной курс или иная дата его определения не установлены законом или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3. Использование иностранной валюты,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случаях, в порядке и на условиях , определенных законом или в установленном им порядке.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317</dc:title>
  <dc:creator>АРБИТРАЖ! · arbi.ru</dc:creator>
  <cp:lastModifiedBy>АРБИТРАЖ!</cp:lastModifiedBy>
  <dcterms:created xsi:type="dcterms:W3CDTF">2026-10-22T18:52:43.338Z</dcterms:created>
</cp:coreProperties>
</file>