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317.1 ГК РФ &gt;&gt;&gt;</w:t>
      </w:r>
    </w:p>
    <w:p>
      <w:pPr>
        <w:spacing w:after="120"/>
        <w:ind w:firstLine="709"/>
      </w:pPr>
      <w:r>
        <w:rPr>
          <w:sz w:val="24"/>
        </w:rPr>
        <w:t xml:space="preserve">1. В случаях, когда законом или договором предусмотрено, что на сумму денежного обязательства за период пользования денежными средствами подлежат начислению проценты, размер процентов определяется действовавшей в соответствующие периоды ключевой ставкой Банка России (законные проценты), если иной размер процентов не установлен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Условие обязательства, предусматривающее начисление процентов на проценты, является ничтожным, за исключением условий обязательств, возникающих из договоров банковского вклада или из договоров, связанных с осуществлением сторонами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317.1</dc:title>
  <dc:creator>АРБИТРАЖ! · arbi.ru</dc:creator>
  <cp:lastModifiedBy>АРБИТРАЖ!</cp:lastModifiedBy>
  <dcterms:created xsi:type="dcterms:W3CDTF">2026-10-22T10:49:38.167Z</dcterms:created>
</cp:coreProperties>
</file>