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319 ГК РФ &gt;&gt;&gt;</w:t>
      </w:r>
    </w:p>
    <w:p>
      <w:pPr>
        <w:spacing w:after="120"/>
        <w:ind w:firstLine="709"/>
      </w:pPr>
      <w:r>
        <w:rPr>
          <w:sz w:val="24"/>
        </w:rPr>
        <w:t xml:space="preserve">Сумма произведенного платежа, недостаточная для исполнения денежного обязательства полностью, при отсутствии иного соглашения погашает прежде всего издержки кредитора по получению исполнения, затем - проценты , а в оставшейся части - основную сумму долга.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319</dc:title>
  <dc:creator>АРБИТРАЖ! · arbi.ru</dc:creator>
  <cp:lastModifiedBy>АРБИТРАЖ!</cp:lastModifiedBy>
  <dcterms:created xsi:type="dcterms:W3CDTF">2026-10-22T21:35:53.266Z</dcterms:created>
</cp:coreProperties>
</file>