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322 ГК РФ &gt;&gt;&gt;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322 см. Постановление КС РФ от 11.03.2025 N 11-П.</w:t>
      </w:r>
    </w:p>
    <w:p>
      <w:pPr>
        <w:spacing w:after="120"/>
        <w:ind w:firstLine="709"/>
      </w:pPr>
      <w:r>
        <w:rPr>
          <w:sz w:val="24"/>
        </w:rPr>
        <w:t xml:space="preserve">1. Солидарная обязанность (ответственность) или солидарное требование возникает, если солидарность обязанности или требования предусмотрена договором или установлена законом , в частности при неделимости предмета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Обязанности нескольких должников по обязательству, связанному с предпринимательской деятельностью, равно как и требования нескольких кредиторов в таком обязательстве, являются солидарными, если законом, иными правовыми актами или условиями обязательства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322</dc:title>
  <dc:creator>АРБИТРАЖ! · arbi.ru</dc:creator>
  <cp:lastModifiedBy>АРБИТРАЖ!</cp:lastModifiedBy>
  <dcterms:created xsi:type="dcterms:W3CDTF">2026-10-22T20:17:55.622Z</dcterms:created>
</cp:coreProperties>
</file>