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</w:t>
      </w:r>
    </w:p>
    <w:p>
      <w:pPr>
        <w:spacing w:after="120"/>
        <w:ind w:firstLine="709"/>
      </w:pPr>
      <w:r>
        <w:rPr>
          <w:sz w:val="24"/>
        </w:rPr>
        <w:t xml:space="preserve">2. Кредитор, не получивший полного удовлетворения от одного из солидарных должников, имеет право требовать недополученное от остальных солидарных должников.</w:t>
      </w:r>
    </w:p>
    <w:p>
      <w:pPr>
        <w:spacing w:after="120"/>
        <w:ind w:firstLine="709"/>
      </w:pPr>
      <w:r>
        <w:rPr>
          <w:sz w:val="24"/>
        </w:rPr>
        <w:t xml:space="preserve">Солидарные должники остаются обязанными до тех пор, пока обязательство не исполнено полностью.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323</dc:title>
  <dc:creator>АРБИТРАЖ! · arbi.ru</dc:creator>
  <cp:lastModifiedBy>АРБИТРАЖ!</cp:lastModifiedBy>
  <dcterms:created xsi:type="dcterms:W3CDTF">2026-10-23T00:21:08.068Z</dcterms:created>
</cp:coreProperties>
</file>