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ГК РФ, часть первая, ст. 330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кодекс Российской Федерации (часть первая) № 51-ФЗ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https://www.consultant.ru/document/cons_doc_LAW_5142/</w:t>
      </w:r>
    </w:p>
    <w:p>
      <w:pPr>
        <w:spacing w:after="120"/>
        <w:ind w:firstLine="709"/>
      </w:pPr>
      <w:r>
        <w:rPr>
          <w:sz w:val="24"/>
        </w:rPr>
        <w:t xml:space="preserve">Раздел: Глава 22. Исполнение обязательств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Позиции высших судов по ст. 330 ГК РФ &gt;&gt;&gt;</w:t>
      </w:r>
    </w:p>
    <w:p>
      <w:pPr>
        <w:spacing w:after="120"/>
        <w:ind w:firstLine="709"/>
      </w:pPr>
      <w:r>
        <w:rPr>
          <w:sz w:val="24"/>
        </w:rPr>
        <w:t xml:space="preserve">1. Неустойкой (штрафом, пеней) признается определенная законом или договором денежная сумма, которую должник обязан уплатить кредитору в случае неисполнения или ненадлежащего исполнения обязательства, в частности в случае просрочки исполнения. По требованию об уплате неустойки кредитор не обязан доказывать причинение ему убытков.</w:t>
      </w:r>
    </w:p>
    <w:p>
      <w:pPr>
        <w:spacing w:after="120"/>
        <w:ind w:firstLine="709"/>
      </w:pPr>
      <w:r>
        <w:rPr>
          <w:sz w:val="24"/>
        </w:rPr>
        <w:t xml:space="preserve">2. Кредитор не вправе требовать уплаты неустойки, если должник не несет ответственности за неисполнение или ненадлежащее исполнение обязательства.</w:t>
      </w:r>
    </w:p>
    <w:p>
      <w:pPr>
        <w:spacing w:after="120"/>
        <w:ind w:firstLine="709"/>
      </w:pPr>
      <w:r>
        <w:rPr>
          <w:sz w:val="24"/>
        </w:rPr>
        <w:t xml:space="preserve">&lt;div class="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ГК РФ, часть первая, ст. 330</dc:title>
  <dc:creator>АРБИТРАЖ! · arbi.ru</dc:creator>
  <cp:lastModifiedBy>АРБИТРАЖ!</cp:lastModifiedBy>
  <dcterms:created xsi:type="dcterms:W3CDTF">2026-10-22T22:32:05.366Z</dcterms:created>
</cp:coreProperties>
</file>