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333 ГК РФ &gt;&gt;&gt;</w:t>
      </w:r>
    </w:p>
    <w:p>
      <w:pPr>
        <w:spacing w:after="120"/>
        <w:ind w:firstLine="709"/>
      </w:pPr>
      <w:r>
        <w:rPr>
          <w:sz w:val="24"/>
        </w:rPr>
        <w:t xml:space="preserve">1. 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</w:t>
      </w:r>
    </w:p>
    <w:p>
      <w:pPr>
        <w:spacing w:after="120"/>
        <w:ind w:firstLine="709"/>
      </w:pPr>
      <w:r>
        <w:rPr>
          <w:sz w:val="24"/>
        </w:rPr>
        <w:t xml:space="preserve">2. 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 , если будет доказано, что взыскание неустойки в предусмотренном договором размере может привести к получению кредитором необоснованной выгоды.</w:t>
      </w:r>
    </w:p>
    <w:p>
      <w:pPr>
        <w:spacing w:after="120"/>
        <w:ind w:firstLine="709"/>
      </w:pPr>
      <w:r>
        <w:rPr>
          <w:sz w:val="24"/>
        </w:rPr>
        <w:t xml:space="preserve">3. Правила настоящей статьи не затрагивают право должника на уменьшение размера его ответственности на основании статьи 404 настоящего Кодекса и право кредитора на возмещение убытков в случаях, предусмотренных статьей 394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p/>
    <w:p>
      <w:pPr>
        <w:spacing w:after="120"/>
        <w:ind w:firstLine="709"/>
      </w:pPr>
      <w:r>
        <w:rPr>
          <w:sz w:val="24"/>
        </w:rPr>
        <w:t xml:space="preserve">§ 3. Залог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333</dc:title>
  <dc:creator>АРБИТРАЖ! · arbi.ru</dc:creator>
  <cp:lastModifiedBy>АРБИТРАЖ!</cp:lastModifiedBy>
  <dcterms:created xsi:type="dcterms:W3CDTF">2026-10-22T16:11:19.478Z</dcterms:created>
</cp:coreProperties>
</file>