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334.1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 между залогодателем и залогодержателем возникает на основании договора. В случаях, установленных законом , залог возникает при наступлении указанных в законе обстоятельств (залог на основании закона).</w:t>
      </w:r>
    </w:p>
    <w:p>
      <w:pPr>
        <w:spacing w:after="120"/>
        <w:ind w:firstLine="709"/>
      </w:pPr>
      <w:r>
        <w:rPr>
          <w:sz w:val="24"/>
        </w:rPr>
        <w:t xml:space="preserve">2. Правила настоящего Кодекса о залоге на основании договора соответственно применяются к залогу, возникшему на основании закона, если законом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3. В случае возникновения залога на основании закона залогодатель и залогодержатель вправе заключить соглашение, регулирующее их отношения. К такому соглашению применяются правила настоящего Кодекса о форме договора залога.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334.1</dc:title>
  <dc:creator>АРБИТРАЖ! · arbi.ru</dc:creator>
  <cp:lastModifiedBy>АРБИТРАЖ!</cp:lastModifiedBy>
  <dcterms:created xsi:type="dcterms:W3CDTF">2026-10-22T20:24:40.568Z</dcterms:created>
</cp:coreProperties>
</file>