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Предметом залога может быть всякое имущество, в том числе вещи и имущественные права, за исключением имущества, на которое не допускается обращение взыскания, требований, неразрывно связанных с личностью кредитора, в частности требований об алиментах, о возмещении вреда, причиненного жизни или здоровью, и иных прав, уступка которых другому лицу запрещена законом.</w:t>
      </w:r>
    </w:p>
    <w:p>
      <w:pPr>
        <w:spacing w:after="120"/>
        <w:ind w:firstLine="709"/>
      </w:pPr>
      <w:r>
        <w:rPr>
          <w:sz w:val="24"/>
        </w:rPr>
        <w:t xml:space="preserve">Залог отдельных видов имущества может быть ограничен или запрещен законом .</w:t>
      </w:r>
    </w:p>
    <w:p>
      <w:pPr>
        <w:spacing w:after="120"/>
        <w:ind w:firstLine="709"/>
      </w:pPr>
      <w:r>
        <w:rPr>
          <w:sz w:val="24"/>
        </w:rPr>
        <w:t xml:space="preserve">2. Договором залога или в отношении залога, возникающего на основании закона, законом может быть предусмотрен залог имущества, которое залогодатель приобретет в будущем.</w:t>
      </w:r>
    </w:p>
    <w:p>
      <w:pPr>
        <w:spacing w:after="120"/>
        <w:ind w:firstLine="709"/>
      </w:pPr>
      <w:r>
        <w:rPr>
          <w:sz w:val="24"/>
        </w:rPr>
        <w:t xml:space="preserve">3. На полученные в результате использования заложенного имущества плоды, продукцию и доходы залог распространяется в случаях,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(вещных правах, правах, возникающих из договоров аренды, ссуды и т.п.).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336</dc:title>
  <dc:creator>АРБИТРАЖ! · arbi.ru</dc:creator>
  <cp:lastModifiedBy>АРБИТРАЖ!</cp:lastModifiedBy>
  <dcterms:created xsi:type="dcterms:W3CDTF">2026-10-22T20:22:54.879Z</dcterms:created>
</cp:coreProperties>
</file>