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337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337 ГК РФ</w:t>
      </w:r>
    </w:p>
    <w:p>
      <w:pPr>
        <w:spacing w:after="120"/>
        <w:ind w:firstLine="709"/>
      </w:pPr>
      <w:r>
        <w:rPr>
          <w:sz w:val="24"/>
        </w:rPr>
        <w:t xml:space="preserve">- Залогодатель хочет признать отсутствующим обременение недвижимости в виде залога в связи с прекращением обязательств, обеспеченных залогом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законом или договором, залог обеспечивает требование в том объеме, какой оно имеет к моменту удовлетворения, в частности проценты, неустойку, возмещение убытков, причиненных просрочкой исполнения,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337</dc:title>
  <dc:creator>АРБИТРАЖ! · arbi.ru</dc:creator>
  <cp:lastModifiedBy>АРБИТРАЖ!</cp:lastModifiedBy>
  <dcterms:created xsi:type="dcterms:W3CDTF">2026-10-22T22:36:50.527Z</dcterms:created>
</cp:coreProperties>
</file>