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Заложенное имущество остается у залогодателя, если иное не предусмотрено настоящим Кодексом, другим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2. Предмет залога может быть оставлен у залогодателя под замком и печатью залогодержателя.</w:t>
      </w:r>
    </w:p>
    <w:p>
      <w:pPr>
        <w:spacing w:after="120"/>
        <w:ind w:firstLine="709"/>
      </w:pPr>
      <w:r>
        <w:rPr>
          <w:sz w:val="24"/>
        </w:rPr>
        <w:t xml:space="preserve">Предмет залога может быть оставлен у залогодателя с наложением знаков, свидетельствующих о залоге (твердый залог).</w:t>
      </w:r>
    </w:p>
    <w:p>
      <w:pPr>
        <w:spacing w:after="120"/>
        <w:ind w:firstLine="709"/>
      </w:pPr>
      <w:r>
        <w:rPr>
          <w:sz w:val="24"/>
        </w:rPr>
        <w:t xml:space="preserve">3. Предмет залога, переданный залогодателем на время во владение или в пользование третьему лицу, считается оставленным у залогодателя.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338</dc:title>
  <dc:creator>АРБИТРАЖ! · arbi.ru</dc:creator>
  <cp:lastModifiedBy>АРБИТРАЖ!</cp:lastModifiedBy>
  <dcterms:created xsi:type="dcterms:W3CDTF">2026-10-22T20:17:42.993Z</dcterms:created>
</cp:coreProperties>
</file>