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339 ГК РФ</w:t>
      </w:r>
    </w:p>
    <w:p>
      <w:pPr>
        <w:spacing w:after="120"/>
        <w:ind w:firstLine="709"/>
      </w:pPr>
      <w:r>
        <w:rPr>
          <w:sz w:val="24"/>
        </w:rPr>
        <w:t xml:space="preserve">- Залогодатель хочет признать договор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В договоре залога должны быть указаны предмет залога, существо, размер и срок исполнения обязательства, обеспечиваемого залогом. Условия, относящиеся к основному обязательству, считаются согласованными, если в договоре залога имеется отсылка к договору, из которого возникло или возникнет в будущем обеспечиваемое обязательство.</w:t>
      </w:r>
    </w:p>
    <w:p>
      <w:pPr>
        <w:spacing w:after="120"/>
        <w:ind w:firstLine="709"/>
      </w:pPr>
      <w:r>
        <w:rPr>
          <w:sz w:val="24"/>
        </w:rPr>
        <w:t xml:space="preserve">Стороны могут предусмотреть в договоре залога условие о порядке реализации заложенного имущества, взыскание на которое обращено по решению суда, или условие о возможности обращения взыскания на заложенное имущество во внесудебном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2. В договоре залога, залогодателем по которому является лицо, осуществляющее предпринимательскую деятельность, обязательство, обеспечиваемое залогом, включая будущее обязательство, может быть описано способом, позволяющим определить обязательство в качестве обязательства, обеспеченного залогом, на момент обращения взыскания, в том числе путем указания на обеспечение всех существующих и (или) будущих обязательств должника перед кредитором в пределах определенной суммы.</w:t>
      </w:r>
    </w:p>
    <w:p>
      <w:pPr>
        <w:spacing w:after="120"/>
        <w:ind w:firstLine="709"/>
      </w:pPr>
      <w:r>
        <w:rPr>
          <w:sz w:val="24"/>
        </w:rPr>
        <w:t xml:space="preserve">В договоре залога, залогодателем по которому является лицо, осуществляющее предпринимательскую деятельность, предмет залога может быть описан любым способом, позволяющим идентифицировать имущество в качестве предмета залога на момент обращения взыскания,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вида.</w:t>
      </w:r>
    </w:p>
    <w:p>
      <w:pPr>
        <w:spacing w:after="120"/>
        <w:ind w:firstLine="709"/>
      </w:pPr>
      <w:r>
        <w:rPr>
          <w:sz w:val="24"/>
        </w:rPr>
        <w:t xml:space="preserve">3. Договор залога должен быть заключен в простой письменной форме, если законом или соглашением сторон не установлена нотариальная форма.</w:t>
      </w:r>
    </w:p>
    <w:p>
      <w:pPr>
        <w:spacing w:after="120"/>
        <w:ind w:firstLine="709"/>
      </w:pPr>
      <w:r>
        <w:rPr>
          <w:sz w:val="24"/>
        </w:rPr>
        <w:t xml:space="preserve">Договор залога в обеспечение исполнения обязательств по договору, который должен быть нотариально удостоверен, подлежит нотариальному удостоверению.</w:t>
      </w:r>
    </w:p>
    <w:p>
      <w:pPr>
        <w:spacing w:after="120"/>
        <w:ind w:firstLine="709"/>
      </w:pPr>
      <w:r>
        <w:rPr>
          <w:sz w:val="24"/>
        </w:rPr>
        <w:t xml:space="preserve">Несоблюдение правил, содержащихся в настоящем пункте, влечет недействительность договора залога.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339</dc:title>
  <dc:creator>АРБИТРАЖ! · arbi.ru</dc:creator>
  <cp:lastModifiedBy>АРБИТРАЖ!</cp:lastModifiedBy>
  <dcterms:created xsi:type="dcterms:W3CDTF">2026-10-22T22:32:06.401Z</dcterms:created>
</cp:coreProperties>
</file>