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339.1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339.1 ГК РФ</w:t>
      </w:r>
    </w:p>
    <w:p>
      <w:pPr>
        <w:spacing w:after="120"/>
        <w:ind w:firstLine="709"/>
      </w:pPr>
      <w:r>
        <w:rPr>
          <w:sz w:val="24"/>
        </w:rPr>
        <w:t xml:space="preserve">- Залогодержатель хочет зарегистрировать ипотеку в ЕГРН в судебном порядке в связи с уклонением залогодателя от государственной регистрации</w:t>
      </w:r>
    </w:p>
    <w:p>
      <w:pPr>
        <w:spacing w:after="120"/>
        <w:ind w:firstLine="709"/>
      </w:pPr>
      <w:r>
        <w:rPr>
          <w:sz w:val="24"/>
        </w:rPr>
        <w:t xml:space="preserve">1. Залог подлежит государственной регистрации и возникает с момента такой регистрации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если в соответствии с законом права, закрепляющие принадлежность имущества определенному лицу, подлежат государственной регистрации (статья 8.1) ;</w:t>
      </w:r>
    </w:p>
    <w:p>
      <w:pPr>
        <w:spacing w:after="120"/>
        <w:ind w:firstLine="709"/>
      </w:pPr>
      <w:r>
        <w:rPr>
          <w:sz w:val="24"/>
        </w:rPr>
        <w:t xml:space="preserve">2) если предметом залога являются права участника (учредителя) общества с ограниченной ответственностью (статья 358.15) .</w:t>
      </w:r>
    </w:p>
    <w:p>
      <w:pPr>
        <w:spacing w:after="120"/>
        <w:ind w:firstLine="709"/>
      </w:pPr>
      <w:r>
        <w:rPr>
          <w:sz w:val="24"/>
        </w:rPr>
        <w:t xml:space="preserve">2. Записи о залоге ценных бумаг совершаются в соответствии с правилами настоящего Кодекса и других законов о ценных бумагах.</w:t>
      </w:r>
    </w:p>
    <w:p>
      <w:pPr>
        <w:spacing w:after="120"/>
        <w:ind w:firstLine="709"/>
      </w:pPr>
      <w:r>
        <w:rPr>
          <w:sz w:val="24"/>
        </w:rPr>
        <w:t xml:space="preserve">3. Сведения о залоге прав по договору банковского счета учитываются в соответствии с правилами статьи 358.11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Залог иного имущества, не относящегося к недвижимым вещам, помимо указанного в пунктах 1 - 3 настоящей статьи имущества, может быть учтен путем регистрации уведомлений о залоге, поступивших от залогодателя, залогодержателя или в случаях, установленных законодательством о нотариате, от другого лица, в реестре уведомлений о залоге такого имущества (реестр уведомлений о залоге движимого имущества). Реестр уведомлений о залоге движимого имущества ведется в порядке , установленном законодательством о нотариате.</w:t>
      </w:r>
    </w:p>
    <w:p>
      <w:pPr>
        <w:spacing w:after="120"/>
        <w:ind w:firstLine="709"/>
      </w:pPr>
      <w:r>
        <w:rPr>
          <w:sz w:val="24"/>
        </w:rPr>
        <w:t xml:space="preserve">В случае изменения или прекращения залога, в отношении которого зарегистрировано уведомление о залоге, залогодержатель обязан направить в порядке , установленном законодательством о нотариате, уведомление об изменении залога или об исключении сведений о залоге в течение трех рабочих дней с момента, когда он узнал или должен был узнать об изменении или о прекращении залога. В случаях , предусмотренных законодательством о нотариате, уведомление об изменении залога или об исключении сведений о залоге направляет иное указанное в законе лицо.</w:t>
      </w:r>
    </w:p>
    <w:p>
      <w:pPr>
        <w:spacing w:after="120"/>
        <w:ind w:firstLine="709"/>
      </w:pPr>
      <w:r>
        <w:rPr>
          <w:sz w:val="24"/>
        </w:rPr>
        <w:t xml:space="preserve">Залогодержатель в отношениях с третьими лицами вправе ссылаться на принадлежащее ему право залога только с момента совершения записи об учете залога, за исключением случаев, если третье лицо знало или должно было знать о существовании залога ранее этого. Отсутствие записи об учете не затрагивает отношения залогодателя с залогодержателем.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339.1</dc:title>
  <dc:creator>АРБИТРАЖ! · arbi.ru</dc:creator>
  <cp:lastModifiedBy>АРБИТРАЖ!</cp:lastModifiedBy>
  <dcterms:created xsi:type="dcterms:W3CDTF">2026-10-22T20:17:38.478Z</dcterms:created>
</cp:coreProperties>
</file>