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340</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22. Исполнение обязательств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21.12.2013 N 367-ФЗ)</w:t>
      </w:r>
    </w:p>
    <w:p>
      <w:pPr>
        <w:spacing w:after="120"/>
        <w:ind w:firstLine="709"/>
      </w:pPr>
      <w:r>
        <w:rPr>
          <w:sz w:val="24"/>
        </w:rPr>
        <w:t xml:space="preserve">(см. текст в предыдущей редакции )</w:t>
      </w:r>
    </w:p>
    <w:p>
      <w:pPr>
        <w:spacing w:after="120"/>
        <w:ind w:firstLine="709"/>
      </w:pPr>
      <w:r>
        <w:rPr>
          <w:sz w:val="24"/>
        </w:rPr>
        <w:t xml:space="preserve">1. Стоимость предмета залога определяется по соглашению сторон, если иное не предусмотрено законом.</w:t>
      </w:r>
    </w:p>
    <w:p>
      <w:pPr>
        <w:spacing w:after="120"/>
        <w:ind w:firstLine="709"/>
      </w:pPr>
      <w:r>
        <w:rPr>
          <w:sz w:val="24"/>
        </w:rPr>
        <w:t xml:space="preserve">2. Если иное не предусмотрено законом или договором, изменение рыночной стоимости предмета залога после заключения договора залога или возникновения залога в силу закона не является основанием для изменения или прекращения залога.</w:t>
      </w:r>
    </w:p>
    <w:p>
      <w:pPr>
        <w:spacing w:after="120"/>
        <w:ind w:firstLine="709"/>
      </w:pPr>
      <w:r>
        <w:rPr>
          <w:sz w:val="24"/>
        </w:rPr>
        <w:t xml:space="preserve">Условия договора, которые предусматривают в связи с последующим уменьшением рыночной стоимости предмета залога, обеспечивающего обязательство гражданина по возврату потребительского или ипотечного кредита, распространение залога на иное имущество, досрочный возврат кредита или иные неблагоприятные для залогодателя последствия, ничтожны.</w:t>
      </w:r>
    </w:p>
    <w:p>
      <w:pPr>
        <w:spacing w:after="120"/>
        <w:ind w:firstLine="709"/>
      </w:pPr>
      <w:r>
        <w:rPr>
          <w:sz w:val="24"/>
        </w:rPr>
        <w:t xml:space="preserve">3. Если иное не предусмотрено законом, соглашением сторон или решением суда об обращении взыскания на заложенное имущество, согласованная сторонами стоимость предмета залога признается ценой реализации (начальной продажной ценой) предмета залога при обращении на него взыскания.</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340</dc:title>
  <dc:creator>АРБИТРАЖ! · arbi.ru</dc:creator>
  <cp:lastModifiedBy>АРБИТРАЖ!</cp:lastModifiedBy>
  <dcterms:created xsi:type="dcterms:W3CDTF">2026-10-22T22:03:43.699Z</dcterms:created>
</cp:coreProperties>
</file>