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Права залогодержателя в отношениях с залогодателем возникают с момента заключения договора залога, если иное не установлено договором, настоящим Кодексом и другими законами .</w:t>
      </w:r>
    </w:p>
    <w:p>
      <w:pPr>
        <w:spacing w:after="120"/>
        <w:ind w:firstLine="709"/>
      </w:pPr>
      <w:r>
        <w:rPr>
          <w:sz w:val="24"/>
        </w:rPr>
        <w:t xml:space="preserve">2. Если предметом залога является имущество, которое будет создано или приобретено залогодателем в будущем, залог возникает у залогодержателя с момента создания или приобретения залогодателем соответствующего имущества, за исключением случая, когда законом или договором предусмотрено, что оно возникает в иной срок.</w:t>
      </w:r>
    </w:p>
    <w:p>
      <w:pPr>
        <w:spacing w:after="120"/>
        <w:ind w:firstLine="709"/>
      </w:pPr>
      <w:r>
        <w:rPr>
          <w:sz w:val="24"/>
        </w:rPr>
        <w:t xml:space="preserve">3. Если основное обязательство, обеспечиваемое залогом, возникнет в будущем после заключения договора залога, залог возникает с момента, определенного договором, но не ранее возникновения этого обязательства. С момента заключения такого договора залога к отношениям сторон применяются положения статей 343 и 346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Законом в отношении залога недвижимого имущества может быть предусмотрено, что залог считается возникшим, существует и прекращается независимо от возникновения, существования и прекращения обеспеченного обязательства.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341</dc:title>
  <dc:creator>АРБИТРАЖ! · arbi.ru</dc:creator>
  <cp:lastModifiedBy>АРБИТРАЖ!</cp:lastModifiedBy>
  <dcterms:created xsi:type="dcterms:W3CDTF">2026-10-22T06:41:07.712Z</dcterms:created>
</cp:coreProperties>
</file>