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342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21.12.2013 N 367-ФЗ)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pPr>
        <w:spacing w:after="120"/>
        <w:ind w:firstLine="709"/>
      </w:pPr>
      <w:r>
        <w:rPr>
          <w:sz w:val="24"/>
        </w:rPr>
        <w:t xml:space="preserve">Старшинство залогов может быть изменено:</w:t>
      </w:r>
    </w:p>
    <w:p>
      <w:pPr>
        <w:spacing w:after="120"/>
        <w:ind w:firstLine="709"/>
      </w:pPr>
      <w:r>
        <w:rPr>
          <w:sz w:val="24"/>
        </w:rPr>
        <w:t xml:space="preserve">соглашением между залогодержателями;</w:t>
      </w:r>
    </w:p>
    <w:p>
      <w:pPr>
        <w:spacing w:after="120"/>
        <w:ind w:firstLine="709"/>
      </w:pPr>
      <w:r>
        <w:rPr>
          <w:sz w:val="24"/>
        </w:rPr>
        <w:t xml:space="preserve">соглашением между одним, несколькими или всеми залогодержателями и залогодателем.</w:t>
      </w:r>
    </w:p>
    <w:p>
      <w:pPr>
        <w:spacing w:after="120"/>
        <w:ind w:firstLine="709"/>
      </w:pPr>
      <w:r>
        <w:rPr>
          <w:sz w:val="24"/>
        </w:rPr>
        <w:t xml:space="preserve">Во всяком случае указанные соглашения не затрагивают права третьих лиц, не являющихся сторонами указанных соглашений.</w:t>
      </w:r>
    </w:p>
    <w:p>
      <w:pPr>
        <w:spacing w:after="120"/>
        <w:ind w:firstLine="709"/>
      </w:pPr>
      <w:r>
        <w:rPr>
          <w:sz w:val="24"/>
        </w:rPr>
        <w:t xml:space="preserve">2. Последующий залог допускается, если иное не установлено законом .</w:t>
      </w:r>
    </w:p>
    <w:p>
      <w:pPr>
        <w:spacing w:after="120"/>
        <w:ind w:firstLine="709"/>
      </w:pPr>
      <w:r>
        <w:rPr>
          <w:sz w:val="24"/>
        </w:rPr>
        <w:t xml:space="preserve">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pPr>
        <w:spacing w:after="120"/>
        <w:ind w:firstLine="709"/>
      </w:pPr>
      <w:r>
        <w:rPr>
          <w:sz w:val="24"/>
        </w:rPr>
        <w:t xml:space="preserve">3. Залогодатель обязан сообщать каждому последующему залогодержателю сведения о всех существующих залогах имущества, предусмотренные пунктом 1 статьи 339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pPr>
        <w:spacing w:after="120"/>
        <w:ind w:firstLine="709"/>
      </w:pPr>
      <w:r>
        <w:rPr>
          <w:sz w:val="24"/>
        </w:rP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пунктом 1 статьи 339 настоящего Кодекса.</w:t>
      </w:r>
    </w:p>
    <w:p>
      <w:pPr>
        <w:spacing w:after="120"/>
        <w:ind w:firstLine="709"/>
      </w:pPr>
      <w:r>
        <w:rPr>
          <w:sz w:val="24"/>
        </w:rPr>
        <w:t xml:space="preserve">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pPr>
        <w:spacing w:after="120"/>
        <w:ind w:firstLine="709"/>
      </w:pPr>
      <w:r>
        <w:rPr>
          <w:sz w:val="24"/>
        </w:rPr>
        <w:t xml:space="preserve">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342</dc:title>
  <dc:creator>АРБИТРАЖ! · arbi.ru</dc:creator>
  <cp:lastModifiedBy>АРБИТРАЖ!</cp:lastModifiedBy>
  <dcterms:created xsi:type="dcterms:W3CDTF">2026-10-22T23:38:52.066Z</dcterms:created>
</cp:coreProperties>
</file>