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 момента возникновения залога залогодержатель, у которого находилось или должно было находиться заложенное имущество, вправе истребовать его из чужого незаконного владения, в том числе из владения залогодателя.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залогодержателю предоставлено право пользоваться переданным ему предметом залога, он может требовать от других лиц, в том числе от залогодателя, устранения всяких нарушений его права, хотя бы эти нарушения и не были соединены с лишением владения.</w:t>
      </w:r>
    </w:p>
    <w:p>
      <w:pPr>
        <w:spacing w:after="120"/>
        <w:ind w:firstLine="709"/>
      </w:pPr>
      <w:r>
        <w:rPr>
          <w:sz w:val="24"/>
        </w:rPr>
        <w:t xml:space="preserve">Залогодержатель также вправе требовать освобождения заложенного имущества от ареста (исключения его из описи) в связи с обращением на него взыскания в порядке исполнительного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347</dc:title>
  <dc:creator>АРБИТРАЖ! · arbi.ru</dc:creator>
  <cp:lastModifiedBy>АРБИТРАЖ!</cp:lastModifiedBy>
  <dcterms:created xsi:type="dcterms:W3CDTF">2026-10-22T23:29:52.414Z</dcterms:created>
</cp:coreProperties>
</file>