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353 ГК РФ</w:t>
      </w:r>
    </w:p>
    <w:p>
      <w:pPr>
        <w:spacing w:after="120"/>
        <w:ind w:firstLine="709"/>
      </w:pPr>
      <w:r>
        <w:rPr>
          <w:sz w:val="24"/>
        </w:rPr>
        <w:t xml:space="preserve">- Третье лицо хочет признать залог прекращенным</w:t>
      </w:r>
    </w:p>
    <w:p>
      <w:pPr>
        <w:spacing w:after="120"/>
        <w:ind w:firstLine="709"/>
      </w:pPr>
      <w:r>
        <w:rPr>
          <w:sz w:val="24"/>
        </w:rPr>
        <w:t xml:space="preserve">- Третье лицо хочет исключить из реестра уведомлений о залоге движимого имущества сведения о залоге</w:t>
      </w:r>
    </w:p>
    <w:p>
      <w:pPr>
        <w:spacing w:after="120"/>
        <w:ind w:firstLine="709"/>
      </w:pPr>
      <w:r>
        <w:rPr>
          <w:sz w:val="24"/>
        </w:rPr>
        <w:t xml:space="preserve">1. В случае перехода прав на заложенное имущество от залогодателя к другому лицу в результате возмездного или безвозмездного отчуждения этого имущества (за исключением случаев, указанных в подпункте 2 пункта 1 статьи 352 и статье 357 настоящего Кодекса) либо в порядке универсального правопреемства залог сохраняется.</w:t>
      </w:r>
    </w:p>
    <w:p>
      <w:pPr>
        <w:spacing w:after="120"/>
        <w:ind w:firstLine="709"/>
      </w:pPr>
      <w:r>
        <w:rPr>
          <w:sz w:val="24"/>
        </w:rPr>
        <w:t xml:space="preserve">Правопреемник залогодателя приобретает права и несет обязанности залогодателя, за исключением прав и обязанностей, которые в силу закона или существа отношений между сторонами связаны с первоначальным залогодателем.</w:t>
      </w:r>
    </w:p>
    <w:p>
      <w:pPr>
        <w:spacing w:after="120"/>
        <w:ind w:firstLine="709"/>
      </w:pPr>
      <w:r>
        <w:rPr>
          <w:sz w:val="24"/>
        </w:rPr>
        <w:t xml:space="preserve">2. Если имущество залогодателя, являющееся предметом залога, перешло в порядке правопреемства к нескольким лицам, каждый из правопреемников (приобретателей имущества) несет вытекающие из залога последствия неисполнения обеспеченного залогом обязательства соразмерно перешедшей к нему части указанного имущества. Однако если предмет залога неделим или по иным основаниям остается в общей собственности правопреемников, они становятся солидарными залогодателями.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353</dc:title>
  <dc:creator>АРБИТРАЖ! · arbi.ru</dc:creator>
  <cp:lastModifiedBy>АРБИТРАЖ!</cp:lastModifiedBy>
  <dcterms:created xsi:type="dcterms:W3CDTF">2026-10-22T20:18:48.329Z</dcterms:created>
</cp:coreProperties>
</file>