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Принятие от граждан в залог движимых вещей, предназначенных для личного потребления, в обеспечение краткосрочных займов может осуществляться в качестве предпринимательской деятельности специализированными организациями - ломбардами .</w:t>
      </w:r>
    </w:p>
    <w:p>
      <w:pPr>
        <w:spacing w:after="120"/>
        <w:ind w:firstLine="709"/>
      </w:pPr>
      <w:r>
        <w:rPr>
          <w:sz w:val="24"/>
        </w:rPr>
        <w:t xml:space="preserve">2. Договор займа оформляется выдачей ломбардом залогового билета.</w:t>
      </w:r>
    </w:p>
    <w:p>
      <w:pPr>
        <w:spacing w:after="120"/>
        <w:ind w:firstLine="709"/>
      </w:pPr>
      <w:r>
        <w:rPr>
          <w:sz w:val="24"/>
        </w:rPr>
        <w:t xml:space="preserve">3. Закладываемые вещи передаются в ломбард.</w:t>
      </w:r>
    </w:p>
    <w:p>
      <w:pPr>
        <w:spacing w:after="120"/>
        <w:ind w:firstLine="709"/>
      </w:pPr>
      <w:r>
        <w:rPr>
          <w:sz w:val="24"/>
        </w:rPr>
        <w:t xml:space="preserve">Ломбард обязан страховать в пользу залогодателя за свой счет принятые в залог вещи в полной сумме их оценки, соответствующей ценам на вещи такого рода и такого качества, обычно устанавливаемым в торговле в момент их принятия в залог.</w:t>
      </w:r>
    </w:p>
    <w:p>
      <w:pPr>
        <w:spacing w:after="120"/>
        <w:ind w:firstLine="709"/>
      </w:pPr>
      <w:r>
        <w:rPr>
          <w:sz w:val="24"/>
        </w:rPr>
        <w:t xml:space="preserve">Ломбард не вправе пользоваться и распоряжаться заложенными вещами.</w:t>
      </w:r>
    </w:p>
    <w:p>
      <w:pPr>
        <w:spacing w:after="120"/>
        <w:ind w:firstLine="709"/>
      </w:pPr>
      <w:r>
        <w:rPr>
          <w:sz w:val="24"/>
        </w:rPr>
        <w:t xml:space="preserve">4. Ломбард несет ответственность за утрату заложенных вещей и их повреждение, если не докажет, что утрата, повреждение произошли вследствие непреодолимой силы.</w:t>
      </w:r>
    </w:p>
    <w:p>
      <w:pPr>
        <w:spacing w:after="120"/>
        <w:ind w:firstLine="709"/>
      </w:pPr>
      <w:r>
        <w:rPr>
          <w:sz w:val="24"/>
        </w:rPr>
        <w:t xml:space="preserve">5. В случае невозвращения в установленный срок суммы займа, обеспеченного залогом вещей в ломбарде, ломбард по истечении льготного месячного срока вправе продать это имущество в порядке, установленном законом о ломбардах. После этого требования ломбарда к залогодателю (должнику) погашаются, даже если сумма, вырученная при реализации заложенного имущества, недостаточна для их полного удовлетворения.</w:t>
      </w:r>
    </w:p>
    <w:p>
      <w:pPr>
        <w:spacing w:after="120"/>
        <w:ind w:firstLine="709"/>
      </w:pPr>
      <w:r>
        <w:rPr>
          <w:sz w:val="24"/>
        </w:rPr>
        <w:t xml:space="preserve">6. Правила кредитования граждан ломбардами под залог принадлежащих гражданам вещей устанавливаются законом о ломбардах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7. Условия договора займа, ограничивающие права залогодателя по сравнению с правами, предоставляемыми ему настоящим Кодексом и другими законами, ничтожны. Вместо таких условий применяются соответствующие положения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</dc:title>
  <dc:creator>АРБИТРАЖ! · arbi.ru</dc:creator>
  <cp:lastModifiedBy>АРБИТРАЖ!</cp:lastModifiedBy>
  <dcterms:created xsi:type="dcterms:W3CDTF">2026-10-22T20:18:32.534Z</dcterms:created>
</cp:coreProperties>
</file>